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附件2：</w:t>
      </w:r>
    </w:p>
    <w:p>
      <w:pPr>
        <w:pStyle w:val="2"/>
        <w:spacing w:line="360" w:lineRule="auto"/>
        <w:jc w:val="center"/>
        <w:rPr>
          <w:rFonts w:ascii="Times New Roman" w:hAnsi="Times New Roman" w:eastAsia="黑体" w:cs="Times New Roman"/>
          <w:bCs/>
          <w:w w:val="150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Times New Roman" w:hAnsi="Times New Roman" w:eastAsia="黑体" w:cs="Times New Roman"/>
          <w:bCs/>
          <w:w w:val="150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方正小标宋简体" w:hAnsi="新宋体" w:eastAsia="方正小标宋简体" w:cs="Times New Roman"/>
          <w:bCs/>
          <w:w w:val="150"/>
          <w:sz w:val="52"/>
          <w:szCs w:val="52"/>
        </w:rPr>
      </w:pPr>
      <w:r>
        <w:rPr>
          <w:rFonts w:hint="eastAsia" w:ascii="方正小标宋简体" w:hAnsi="新宋体" w:eastAsia="方正小标宋简体" w:cs="Times New Roman"/>
          <w:bCs/>
          <w:w w:val="150"/>
          <w:sz w:val="52"/>
          <w:szCs w:val="52"/>
        </w:rPr>
        <w:t>昆明理工大学</w:t>
      </w:r>
    </w:p>
    <w:p>
      <w:pPr>
        <w:pStyle w:val="2"/>
        <w:spacing w:line="360" w:lineRule="auto"/>
        <w:jc w:val="center"/>
        <w:rPr>
          <w:rFonts w:ascii="方正小标宋简体" w:hAnsi="新宋体" w:eastAsia="方正小标宋简体" w:cs="Times New Roman"/>
          <w:bCs/>
          <w:sz w:val="52"/>
          <w:szCs w:val="52"/>
        </w:rPr>
      </w:pPr>
      <w:r>
        <w:rPr>
          <w:rFonts w:hint="eastAsia" w:ascii="方正小标宋简体" w:hAnsi="新宋体" w:eastAsia="方正小标宋简体" w:cs="Times New Roman"/>
          <w:bCs/>
          <w:color w:val="auto"/>
          <w:w w:val="150"/>
          <w:sz w:val="52"/>
          <w:szCs w:val="52"/>
        </w:rPr>
        <w:t>学术</w:t>
      </w:r>
      <w:r>
        <w:rPr>
          <w:rFonts w:hint="eastAsia" w:ascii="方正小标宋简体" w:hAnsi="新宋体" w:eastAsia="方正小标宋简体" w:cs="Times New Roman"/>
          <w:b/>
          <w:bCs/>
          <w:color w:val="auto"/>
          <w:w w:val="150"/>
          <w:sz w:val="52"/>
          <w:szCs w:val="52"/>
        </w:rPr>
        <w:t>学位</w:t>
      </w:r>
      <w:r>
        <w:rPr>
          <w:rFonts w:hint="eastAsia" w:ascii="方正小标宋简体" w:hAnsi="新宋体" w:eastAsia="方正小标宋简体" w:cs="Times New Roman"/>
          <w:bCs/>
          <w:color w:val="auto"/>
          <w:w w:val="150"/>
          <w:sz w:val="52"/>
          <w:szCs w:val="52"/>
        </w:rPr>
        <w:t>博士研究生</w:t>
      </w:r>
      <w:r>
        <w:rPr>
          <w:rFonts w:ascii="方正小标宋简体" w:hAnsi="新宋体" w:eastAsia="方正小标宋简体" w:cs="Times New Roman"/>
          <w:bCs/>
          <w:color w:val="auto"/>
          <w:w w:val="150"/>
          <w:sz w:val="52"/>
          <w:szCs w:val="52"/>
        </w:rPr>
        <w:br w:type="textWrapping"/>
      </w:r>
      <w:r>
        <w:rPr>
          <w:rFonts w:hint="eastAsia" w:ascii="方正小标宋简体" w:hAnsi="新宋体" w:eastAsia="方正小标宋简体" w:cs="Times New Roman"/>
          <w:bCs/>
          <w:color w:val="auto"/>
          <w:w w:val="150"/>
          <w:sz w:val="52"/>
          <w:szCs w:val="52"/>
        </w:rPr>
        <w:t>培养方</w:t>
      </w:r>
      <w:r>
        <w:rPr>
          <w:rFonts w:hint="eastAsia" w:ascii="方正小标宋简体" w:hAnsi="新宋体" w:eastAsia="方正小标宋简体" w:cs="Times New Roman"/>
          <w:bCs/>
          <w:w w:val="150"/>
          <w:sz w:val="52"/>
          <w:szCs w:val="52"/>
        </w:rPr>
        <w:t>案</w:t>
      </w: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72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         </w:t>
      </w:r>
      <w:r>
        <w:rPr>
          <w:rFonts w:hint="eastAsia" w:ascii="Times New Roman" w:hAnsi="Times New Roman" w:cs="Times New Roman"/>
          <w:bCs/>
          <w:sz w:val="32"/>
          <w:szCs w:val="32"/>
        </w:rPr>
        <w:t>一级学科名称</w:t>
      </w:r>
    </w:p>
    <w:p>
      <w:pPr>
        <w:pStyle w:val="2"/>
        <w:spacing w:line="72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         </w:t>
      </w:r>
      <w:r>
        <w:rPr>
          <w:rFonts w:hint="eastAsia" w:ascii="Times New Roman" w:hAnsi="Times New Roman" w:cs="Times New Roman"/>
          <w:bCs/>
          <w:sz w:val="32"/>
          <w:szCs w:val="32"/>
        </w:rPr>
        <w:t>一级学科代码</w:t>
      </w:r>
    </w:p>
    <w:p>
      <w:pPr>
        <w:pStyle w:val="2"/>
        <w:spacing w:line="72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       </w:t>
      </w: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                   </w:t>
      </w: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ind w:firstLine="3500" w:firstLineChars="12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研究生院</w:t>
      </w:r>
    </w:p>
    <w:p>
      <w:pPr>
        <w:pStyle w:val="2"/>
        <w:spacing w:line="360" w:lineRule="auto"/>
        <w:ind w:firstLine="1842" w:firstLineChars="658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制定日期：2018年    月    日</w:t>
      </w:r>
    </w:p>
    <w:p>
      <w:pPr>
        <w:pStyle w:val="2"/>
        <w:spacing w:line="360" w:lineRule="auto"/>
        <w:jc w:val="center"/>
        <w:rPr>
          <w:bCs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学科名称（学科代码）</w:t>
      </w:r>
    </w:p>
    <w:p>
      <w:pPr>
        <w:pStyle w:val="2"/>
        <w:spacing w:line="360" w:lineRule="auto"/>
        <w:rPr>
          <w:rFonts w:asciiTheme="minorEastAsia" w:hAnsiTheme="minorEastAsia" w:cstheme="minorEastAsia"/>
          <w:bCs/>
          <w:sz w:val="18"/>
          <w:szCs w:val="18"/>
        </w:rPr>
      </w:pPr>
    </w:p>
    <w:p>
      <w:pPr>
        <w:pStyle w:val="2"/>
        <w:spacing w:line="360" w:lineRule="auto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适用的二级学科：</w:t>
      </w:r>
    </w:p>
    <w:p>
      <w:pPr>
        <w:pStyle w:val="2"/>
        <w:spacing w:line="360" w:lineRule="auto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一、学科方向</w:t>
      </w:r>
    </w:p>
    <w:tbl>
      <w:tblPr>
        <w:tblStyle w:val="4"/>
        <w:tblW w:w="86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27"/>
        <w:gridCol w:w="750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序号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研究方向名称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序号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研究方向名称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2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4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6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Cs/>
              </w:rPr>
            </w:pPr>
          </w:p>
        </w:tc>
      </w:tr>
    </w:tbl>
    <w:p>
      <w:pPr>
        <w:pStyle w:val="2"/>
        <w:spacing w:line="360" w:lineRule="auto"/>
        <w:rPr>
          <w:rFonts w:asciiTheme="minorEastAsia" w:hAnsiTheme="minorEastAsia" w:cstheme="minorEastAsia"/>
          <w:bCs/>
        </w:rPr>
      </w:pPr>
    </w:p>
    <w:p>
      <w:pPr>
        <w:pStyle w:val="2"/>
        <w:spacing w:line="360" w:lineRule="auto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二、博士课程设置及学分要求</w:t>
      </w:r>
    </w:p>
    <w:tbl>
      <w:tblPr>
        <w:tblStyle w:val="4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201"/>
        <w:gridCol w:w="660"/>
        <w:gridCol w:w="870"/>
        <w:gridCol w:w="720"/>
        <w:gridCol w:w="112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类别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课  程  名  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考核方式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公共课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中国马克思主义与当代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必修5学分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英语阅读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英语听说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学术交流英语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马克思恩格斯列宁经典著作选读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考查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学科专业课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至少4学分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学科基础课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必修环节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学术活动（创新创业教育）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要求参加10次以上的学术活动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学术道德教育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参加学校或学院组织的学术诚信教育讲座或课程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博士讲座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在读期间面向全校师生作2次与学科有关的学术讲座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补修课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以同等学力、跨学科考取的博士研究生须修2-3门本学科硕士学位主干课程。不计学分。</w:t>
            </w:r>
          </w:p>
        </w:tc>
      </w:tr>
    </w:tbl>
    <w:p>
      <w:pPr>
        <w:pStyle w:val="2"/>
        <w:spacing w:line="360" w:lineRule="auto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、硕博连读课程设置及学分要求</w:t>
      </w:r>
    </w:p>
    <w:tbl>
      <w:tblPr>
        <w:tblStyle w:val="4"/>
        <w:tblW w:w="8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176"/>
        <w:gridCol w:w="660"/>
        <w:gridCol w:w="810"/>
        <w:gridCol w:w="660"/>
        <w:gridCol w:w="7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类别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课  程  名  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开课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考核方式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硕士公共课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中国特色社会主义理论与实践研究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必修7学分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自然辨证法概论（理工科）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马克思主义与社会科学方法论（文科）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综合英语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48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英语听说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英语拓展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博士公共课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中国马克思主义与当代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必修5学分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英语阅读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英语听说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学术交流英语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马克思恩格斯列宁经典著作选读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考查</w:t>
            </w:r>
          </w:p>
        </w:tc>
        <w:tc>
          <w:tcPr>
            <w:tcW w:w="1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硕士学科基础课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学科前沿及研究方法课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必修1学分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至少10学分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博士学科基础课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至少4学分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硕/博学科专业课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必修环节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学术活动（创新创业教育）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要求参加10次以上的学术活动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学术道德教育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参加学校或学院组织的学术诚信教育讲座或课程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博士讲座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在读期间面向全校师生作2次与学科有关的学术讲座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bookmarkStart w:id="0" w:name="_GoBack" w:colFirst="0" w:colLast="0"/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补修课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以同等学力、跨学科考取的博士研究生须修2-3门本学科硕士学位主干课程。不计学分。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E433B"/>
    <w:rsid w:val="3C5E43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2018-10-08T07:38:00Z</dcterms:created>
  <dc:creator>宁珊</dc:creator>
  <cp:lastModifiedBy>宁珊</cp:lastModifiedBy>
  <dcterms:modified xsi:type="dcterms:W3CDTF">2018-10-08T07:39:02Z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